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AC52" w14:textId="77777777" w:rsidR="005B0C37" w:rsidRDefault="00000000">
      <w:pPr>
        <w:spacing w:after="60"/>
        <w:jc w:val="center"/>
      </w:pPr>
      <w:r>
        <w:rPr>
          <w:b/>
          <w:bCs/>
          <w:color w:val="1F3864"/>
          <w:sz w:val="32"/>
          <w:szCs w:val="32"/>
        </w:rPr>
        <w:t>SAGE TRADING COLLECTIVE</w:t>
      </w:r>
    </w:p>
    <w:p w14:paraId="222AA014" w14:textId="77777777" w:rsidR="005B0C37" w:rsidRDefault="00000000">
      <w:pPr>
        <w:spacing w:after="240"/>
        <w:jc w:val="center"/>
      </w:pPr>
      <w:r>
        <w:rPr>
          <w:b/>
          <w:bCs/>
          <w:sz w:val="24"/>
          <w:szCs w:val="24"/>
        </w:rPr>
        <w:t>EMPLOYEE CONFIDENTIALITY, NON-DISCLOSURE, AND NON-COMPETITION AGREEMENT</w:t>
      </w:r>
    </w:p>
    <w:p w14:paraId="584BF462" w14:textId="05688F5F" w:rsidR="005B0C37" w:rsidRDefault="00000000">
      <w:pPr>
        <w:spacing w:after="160"/>
      </w:pPr>
      <w:r>
        <w:t xml:space="preserve">This Confidentiality, Non-Disclosure, and Non-Competition Agreement (the “Agreement”) is entered into as of </w:t>
      </w:r>
      <w:r w:rsidR="00F17F84">
        <w:rPr>
          <w:highlight w:val="yellow"/>
        </w:rPr>
        <w:t>Date</w:t>
      </w:r>
      <w:r>
        <w:t xml:space="preserve"> (the “Effective Date”), by and between Sage Trading Collective, including its affiliates, successors, and assigns (“Company”, “we”, “us”, or “our”), and </w:t>
      </w:r>
      <w:r w:rsidR="00F17F84" w:rsidRPr="00F17F84">
        <w:rPr>
          <w:highlight w:val="yellow"/>
        </w:rPr>
        <w:t>Name</w:t>
      </w:r>
      <w:r>
        <w:t xml:space="preserve"> (“Employee”, “you”, or “your”).</w:t>
      </w:r>
    </w:p>
    <w:p w14:paraId="74EB3AA0" w14:textId="77777777" w:rsidR="005B0C37" w:rsidRDefault="00000000">
      <w:pPr>
        <w:spacing w:after="160"/>
      </w:pPr>
      <w:r>
        <w:t>In consideration of Employee’s employment or continued employment with the Company, the compensation and benefits provided in connection with that employment, and access to the Company’s Confidential Information (defined below), the parties agree as follows:</w:t>
      </w:r>
    </w:p>
    <w:p w14:paraId="7F3502F5" w14:textId="77777777" w:rsidR="005B0C37" w:rsidRDefault="00000000">
      <w:pPr>
        <w:pStyle w:val="Heading1"/>
      </w:pPr>
      <w:r>
        <w:t>1. Definition of Confidential Information</w:t>
      </w:r>
    </w:p>
    <w:p w14:paraId="2FBF7481" w14:textId="77777777" w:rsidR="005B0C37" w:rsidRDefault="00000000">
      <w:pPr>
        <w:spacing w:after="160"/>
      </w:pPr>
      <w:r>
        <w:t xml:space="preserve">“Confidential Information” means any non-public information, in any form, that relates to the Company’s business, operations, clients, or strategies, and that the Employee learns of, creates, or has access to </w:t>
      </w:r>
      <w:proofErr w:type="gramStart"/>
      <w:r>
        <w:t>as a result of</w:t>
      </w:r>
      <w:proofErr w:type="gramEnd"/>
      <w:r>
        <w:t xml:space="preserve"> their employment. Confidential Information includes, without limitation, the following categories:</w:t>
      </w:r>
    </w:p>
    <w:p w14:paraId="5EE54A4F" w14:textId="77777777" w:rsidR="005B0C37" w:rsidRDefault="00000000">
      <w:pPr>
        <w:pStyle w:val="ListParagraph"/>
        <w:numPr>
          <w:ilvl w:val="0"/>
          <w:numId w:val="2"/>
        </w:numPr>
        <w:spacing w:after="60"/>
      </w:pPr>
      <w:r>
        <w:t>Client Data: client identities, contact information, account balances, holdings, performance reports, risk profiles, fee arrangements, communications, and any other personal or financial information relating to current, former, or prospective clients of the Company.</w:t>
      </w:r>
    </w:p>
    <w:p w14:paraId="1D60A38D" w14:textId="77777777" w:rsidR="005B0C37" w:rsidRDefault="00000000">
      <w:pPr>
        <w:pStyle w:val="ListParagraph"/>
        <w:numPr>
          <w:ilvl w:val="0"/>
          <w:numId w:val="2"/>
        </w:numPr>
        <w:spacing w:after="60"/>
      </w:pPr>
      <w:r>
        <w:t xml:space="preserve">Investment Models: trading strategies, quantitative models, signals, algorithms, factor research, </w:t>
      </w:r>
      <w:proofErr w:type="spellStart"/>
      <w:r>
        <w:t>backtesting</w:t>
      </w:r>
      <w:proofErr w:type="spellEnd"/>
      <w:r>
        <w:t xml:space="preserve"> data and results, portfolio construction methodologies, risk management parameters, and any related research or analysis, whether in development or in active use.</w:t>
      </w:r>
    </w:p>
    <w:p w14:paraId="1F6F0C73" w14:textId="77777777" w:rsidR="005B0C37" w:rsidRDefault="00000000">
      <w:pPr>
        <w:pStyle w:val="ListParagraph"/>
        <w:numPr>
          <w:ilvl w:val="0"/>
          <w:numId w:val="2"/>
        </w:numPr>
        <w:spacing w:after="60"/>
      </w:pPr>
      <w:r>
        <w:t>Trading Systems: proprietary or licensed software, source code, system architecture, infrastructure design, execution logic, order routing methods, data feeds, integrations, credentials, and configuration details.</w:t>
      </w:r>
    </w:p>
    <w:p w14:paraId="023D6269" w14:textId="77777777" w:rsidR="005B0C37" w:rsidRDefault="00000000">
      <w:pPr>
        <w:pStyle w:val="ListParagraph"/>
        <w:numPr>
          <w:ilvl w:val="0"/>
          <w:numId w:val="2"/>
        </w:numPr>
        <w:spacing w:after="60"/>
      </w:pPr>
      <w:r>
        <w:t>Workflows and Instructions: internal procedures, playbooks, checklists, training materials, standard operating procedures, compliance protocols, and any documented or undocumented processes used to operate the Company’s business.</w:t>
      </w:r>
    </w:p>
    <w:p w14:paraId="07F50654" w14:textId="77777777" w:rsidR="005B0C37" w:rsidRDefault="00000000">
      <w:pPr>
        <w:pStyle w:val="ListParagraph"/>
        <w:numPr>
          <w:ilvl w:val="0"/>
          <w:numId w:val="2"/>
        </w:numPr>
        <w:spacing w:after="60"/>
      </w:pPr>
      <w:r>
        <w:t>Other Business Information: financial records, business plans, pricing, vendor and counterparty relationships, employee and contractor information, and any other information designated as confidential or that a reasonable person would understand to be confidential given the nature of the information and the circumstances of disclosure.</w:t>
      </w:r>
    </w:p>
    <w:p w14:paraId="5E007020" w14:textId="77777777" w:rsidR="005B0C37" w:rsidRDefault="00000000">
      <w:pPr>
        <w:spacing w:after="160"/>
      </w:pPr>
      <w:r>
        <w:t>Confidential Information does not include information that: (a) is or becomes publicly available through no fault of the Employee; (b) was rightfully known to the Employee prior to disclosure by the Company, as demonstrated by written records; (c) is rightfully received from a third party without restriction and without breach of any obligation of confidentiality; or (d) is independently developed by the Employee without use of or reference to the Company’s Confidential Information.</w:t>
      </w:r>
    </w:p>
    <w:p w14:paraId="51DA6184" w14:textId="77777777" w:rsidR="005B0C37" w:rsidRDefault="00000000">
      <w:pPr>
        <w:pStyle w:val="Heading1"/>
      </w:pPr>
      <w:r>
        <w:t>2. Non-Disclosure and Non-Use Obligations</w:t>
      </w:r>
    </w:p>
    <w:p w14:paraId="41DBF712" w14:textId="77777777" w:rsidR="005B0C37" w:rsidRDefault="00000000">
      <w:pPr>
        <w:spacing w:after="160"/>
      </w:pPr>
      <w:r>
        <w:t>Employee agrees that, both during and after employment with the Company, regardless of the reason for separation, Employee will:</w:t>
      </w:r>
    </w:p>
    <w:p w14:paraId="2EA23985" w14:textId="77777777" w:rsidR="005B0C37" w:rsidRDefault="00000000">
      <w:pPr>
        <w:pStyle w:val="ListParagraph"/>
        <w:numPr>
          <w:ilvl w:val="0"/>
          <w:numId w:val="3"/>
        </w:numPr>
        <w:spacing w:after="120"/>
      </w:pPr>
      <w:r>
        <w:lastRenderedPageBreak/>
        <w:t>Hold all Confidential Information in strict confidence and not disclose it to any person or entity outside the Company, except as required to perform Employee’s job duties or as authorized in writing by the Company.</w:t>
      </w:r>
    </w:p>
    <w:p w14:paraId="20855DD6" w14:textId="77777777" w:rsidR="005B0C37" w:rsidRDefault="00000000">
      <w:pPr>
        <w:pStyle w:val="ListParagraph"/>
        <w:numPr>
          <w:ilvl w:val="0"/>
          <w:numId w:val="3"/>
        </w:numPr>
        <w:spacing w:after="120"/>
      </w:pPr>
      <w:r>
        <w:t>Not use any Confidential Information for Employee’s own benefit, or for the benefit of any person or entity other than the Company, including but not limited to using investment models, trading systems, workflows, or instructions to trade for Employee’s own account or for any third party outside the scope of Employee’s authorized duties.</w:t>
      </w:r>
    </w:p>
    <w:p w14:paraId="376DAF43" w14:textId="77777777" w:rsidR="005B0C37" w:rsidRDefault="00000000">
      <w:pPr>
        <w:pStyle w:val="ListParagraph"/>
        <w:numPr>
          <w:ilvl w:val="0"/>
          <w:numId w:val="3"/>
        </w:numPr>
        <w:spacing w:after="120"/>
      </w:pPr>
      <w:r>
        <w:t>Take reasonable precautions to protect the security of Confidential Information, including complying with the Company’s information security policies, access controls, and device and data-handling procedures.</w:t>
      </w:r>
    </w:p>
    <w:p w14:paraId="05E972FD" w14:textId="77777777" w:rsidR="005B0C37" w:rsidRDefault="00000000">
      <w:pPr>
        <w:pStyle w:val="ListParagraph"/>
        <w:numPr>
          <w:ilvl w:val="0"/>
          <w:numId w:val="3"/>
        </w:numPr>
        <w:spacing w:after="120"/>
      </w:pPr>
      <w:r>
        <w:t>Not copy, remove, transmit, or store any Confidential Information on personal devices, personal accounts, or third-party storage services, except as expressly authorized by the Company.</w:t>
      </w:r>
    </w:p>
    <w:p w14:paraId="67ECF89F" w14:textId="77777777" w:rsidR="005B0C37" w:rsidRDefault="00000000">
      <w:pPr>
        <w:pStyle w:val="ListParagraph"/>
        <w:numPr>
          <w:ilvl w:val="0"/>
          <w:numId w:val="3"/>
        </w:numPr>
        <w:spacing w:after="120"/>
      </w:pPr>
      <w:r>
        <w:t>Promptly notify the Company of any actual or suspected unauthorized access to, use of, or disclosure of Confidential Information.</w:t>
      </w:r>
    </w:p>
    <w:p w14:paraId="090AEC1E" w14:textId="77777777" w:rsidR="005B0C37" w:rsidRDefault="00000000">
      <w:pPr>
        <w:pStyle w:val="ListParagraph"/>
        <w:numPr>
          <w:ilvl w:val="0"/>
          <w:numId w:val="3"/>
        </w:numPr>
        <w:spacing w:after="120"/>
      </w:pPr>
      <w:r>
        <w:t xml:space="preserve">Upon termination of employment, or at any time upon the Company’s request, immediately return or destroy (as directed by the Company) all documents, files, devices, and other materials containing Confidential Information, and </w:t>
      </w:r>
      <w:proofErr w:type="gramStart"/>
      <w:r>
        <w:t>certify</w:t>
      </w:r>
      <w:proofErr w:type="gramEnd"/>
      <w:r>
        <w:t xml:space="preserve"> in writing that this has been done.</w:t>
      </w:r>
    </w:p>
    <w:p w14:paraId="0310F426" w14:textId="77777777" w:rsidR="005B0C37" w:rsidRDefault="00000000">
      <w:pPr>
        <w:pStyle w:val="Heading1"/>
      </w:pPr>
      <w:r>
        <w:t xml:space="preserve">3. Client </w:t>
      </w:r>
      <w:proofErr w:type="gramStart"/>
      <w:r>
        <w:t>Non-Solicitation</w:t>
      </w:r>
      <w:proofErr w:type="gramEnd"/>
    </w:p>
    <w:p w14:paraId="3C730097" w14:textId="77777777" w:rsidR="005B0C37" w:rsidRDefault="00000000">
      <w:pPr>
        <w:spacing w:after="160"/>
      </w:pPr>
      <w:r>
        <w:t>During employment and for a period of twelve (12) months following the termination of employment for any reason (the “Restricted Period”), Employee agrees not to, directly or indirectly, on Employee’s own behalf or on behalf of any other person or entity:</w:t>
      </w:r>
    </w:p>
    <w:p w14:paraId="22EA6FD6" w14:textId="77777777" w:rsidR="005B0C37" w:rsidRDefault="00000000">
      <w:pPr>
        <w:pStyle w:val="ListParagraph"/>
        <w:numPr>
          <w:ilvl w:val="0"/>
          <w:numId w:val="2"/>
        </w:numPr>
        <w:spacing w:after="60"/>
      </w:pPr>
      <w:r>
        <w:t>Solicit, contact, or accept business from any client, account holder, or prospective client of the Company with whom Employee had contact, or about whom Employee obtained Confidential Information, during the last twelve (12) months of employment, for the purpose of providing trading, investment management, advisory, or similar services;</w:t>
      </w:r>
    </w:p>
    <w:p w14:paraId="16D11A18" w14:textId="77777777" w:rsidR="005B0C37" w:rsidRDefault="00000000">
      <w:pPr>
        <w:pStyle w:val="ListParagraph"/>
        <w:numPr>
          <w:ilvl w:val="0"/>
          <w:numId w:val="2"/>
        </w:numPr>
        <w:spacing w:after="60"/>
      </w:pPr>
      <w:r>
        <w:t>Induce or attempt to induce any such client to reduce, terminate, or alter their relationship with the Company; or</w:t>
      </w:r>
    </w:p>
    <w:p w14:paraId="6EE2CAC8" w14:textId="77777777" w:rsidR="005B0C37" w:rsidRDefault="00000000">
      <w:pPr>
        <w:pStyle w:val="ListParagraph"/>
        <w:numPr>
          <w:ilvl w:val="0"/>
          <w:numId w:val="2"/>
        </w:numPr>
        <w:spacing w:after="60"/>
      </w:pPr>
      <w:r>
        <w:t>Use any Client Data to identify, contact, or evaluate any client or prospective client for any purpose other than the Company’s business.</w:t>
      </w:r>
    </w:p>
    <w:p w14:paraId="0D8A401D" w14:textId="77777777" w:rsidR="005B0C37" w:rsidRDefault="00000000">
      <w:pPr>
        <w:pStyle w:val="Heading1"/>
      </w:pPr>
      <w:r>
        <w:t>4. Non-Competition</w:t>
      </w:r>
    </w:p>
    <w:p w14:paraId="0BCA49EB" w14:textId="77777777" w:rsidR="005B0C37" w:rsidRDefault="00000000">
      <w:pPr>
        <w:spacing w:after="160"/>
      </w:pPr>
      <w:r>
        <w:t>During employment and for the Restricted Period described in Section 3, Employee agrees not to, directly or indirectly, on Employee’s own behalf or on behalf of any other person or entity:</w:t>
      </w:r>
    </w:p>
    <w:p w14:paraId="6A826461" w14:textId="77777777" w:rsidR="005B0C37" w:rsidRDefault="00000000">
      <w:pPr>
        <w:pStyle w:val="ListParagraph"/>
        <w:numPr>
          <w:ilvl w:val="0"/>
          <w:numId w:val="2"/>
        </w:numPr>
        <w:spacing w:after="60"/>
      </w:pPr>
      <w:r>
        <w:t xml:space="preserve">Form, organize, fund, join as a principal or partner, or hold any ownership or management interest in any business that engages in trading, investment management, or related advisory services substantially </w:t>
      </w:r>
      <w:proofErr w:type="gramStart"/>
      <w:r>
        <w:t>similar to</w:t>
      </w:r>
      <w:proofErr w:type="gramEnd"/>
      <w:r>
        <w:t xml:space="preserve"> those offered by the Company;</w:t>
      </w:r>
    </w:p>
    <w:p w14:paraId="2751DD4B" w14:textId="77777777" w:rsidR="005B0C37" w:rsidRDefault="00000000">
      <w:pPr>
        <w:pStyle w:val="ListParagraph"/>
        <w:numPr>
          <w:ilvl w:val="0"/>
          <w:numId w:val="2"/>
        </w:numPr>
        <w:spacing w:after="60"/>
      </w:pPr>
      <w:r>
        <w:t>Develop, operate, or commercialize any trading system, investment model, or strategy that was derived from, substantially based on, or developed using the Company’s Confidential Information; or</w:t>
      </w:r>
    </w:p>
    <w:p w14:paraId="0AA349FC" w14:textId="77777777" w:rsidR="005B0C37" w:rsidRDefault="00000000">
      <w:pPr>
        <w:pStyle w:val="ListParagraph"/>
        <w:numPr>
          <w:ilvl w:val="0"/>
          <w:numId w:val="2"/>
        </w:numPr>
        <w:spacing w:after="60"/>
      </w:pPr>
      <w:r>
        <w:lastRenderedPageBreak/>
        <w:t>Accept employment, consulting, or contractor work with any business described above in a role where the Employee’s use of the Company’s Confidential Information would reasonably be expected or required.</w:t>
      </w:r>
    </w:p>
    <w:p w14:paraId="355A03D1" w14:textId="78035D14" w:rsidR="005B0C37" w:rsidRDefault="00000000">
      <w:pPr>
        <w:spacing w:after="160"/>
      </w:pPr>
      <w:r>
        <w:rPr>
          <w:i/>
          <w:iCs/>
        </w:rPr>
        <w:t xml:space="preserve">Nothing in this Section 4 is intended to prevent Employee from pursuing employment generally within the investment or trading industry, </w:t>
      </w:r>
      <w:proofErr w:type="gramStart"/>
      <w:r>
        <w:rPr>
          <w:i/>
          <w:iCs/>
        </w:rPr>
        <w:t>provided that</w:t>
      </w:r>
      <w:proofErr w:type="gramEnd"/>
      <w:r>
        <w:rPr>
          <w:i/>
          <w:iCs/>
        </w:rPr>
        <w:t xml:space="preserve"> Employee does not use or disclose the Company’s Confidential Information and otherwise complies with this Agreement. The geographic scope of this Section 4 is “the United States,</w:t>
      </w:r>
      <w:r w:rsidR="00520190">
        <w:rPr>
          <w:i/>
          <w:iCs/>
        </w:rPr>
        <w:t>”</w:t>
      </w:r>
      <w:r>
        <w:rPr>
          <w:i/>
          <w:iCs/>
        </w:rPr>
        <w:t xml:space="preserve"> reflecting the scope of the Company’s business operations and client base.</w:t>
      </w:r>
    </w:p>
    <w:p w14:paraId="59513667" w14:textId="77777777" w:rsidR="005B0C37" w:rsidRDefault="00000000">
      <w:pPr>
        <w:pStyle w:val="Heading1"/>
      </w:pPr>
      <w:r>
        <w:t>5. Ownership of Work Product</w:t>
      </w:r>
    </w:p>
    <w:p w14:paraId="1BA0E037" w14:textId="77777777" w:rsidR="005B0C37" w:rsidRDefault="00000000">
      <w:pPr>
        <w:spacing w:after="160"/>
      </w:pPr>
      <w:r>
        <w:t xml:space="preserve">All investment models, trading systems, code, research, workflows, documentation, and other work </w:t>
      </w:r>
      <w:proofErr w:type="gramStart"/>
      <w:r>
        <w:t>product</w:t>
      </w:r>
      <w:proofErr w:type="gramEnd"/>
      <w:r>
        <w:t xml:space="preserve"> that Employee creates, develops, or contributes to during employment, whether alone or with others, and </w:t>
      </w:r>
      <w:proofErr w:type="gramStart"/>
      <w:r>
        <w:t>whether or not</w:t>
      </w:r>
      <w:proofErr w:type="gramEnd"/>
      <w:r>
        <w:t xml:space="preserve"> during normal working hours or using Company resources, shall be the sole and exclusive property of the Company. Employee hereby assigns to the Company all </w:t>
      </w:r>
      <w:proofErr w:type="gramStart"/>
      <w:r>
        <w:t>right</w:t>
      </w:r>
      <w:proofErr w:type="gramEnd"/>
      <w:r>
        <w:t xml:space="preserve">, </w:t>
      </w:r>
      <w:proofErr w:type="gramStart"/>
      <w:r>
        <w:t>title</w:t>
      </w:r>
      <w:proofErr w:type="gramEnd"/>
      <w:r>
        <w:t xml:space="preserve">, and </w:t>
      </w:r>
      <w:proofErr w:type="gramStart"/>
      <w:r>
        <w:t>interest</w:t>
      </w:r>
      <w:proofErr w:type="gramEnd"/>
      <w:r>
        <w:t xml:space="preserve"> in such work </w:t>
      </w:r>
      <w:proofErr w:type="gramStart"/>
      <w:r>
        <w:t>product</w:t>
      </w:r>
      <w:proofErr w:type="gramEnd"/>
      <w:r>
        <w:t>, including all related intellectual property rights, and agrees to execute any documents reasonably requested by the Company to confirm this assignment.</w:t>
      </w:r>
    </w:p>
    <w:p w14:paraId="05C66CCF" w14:textId="77777777" w:rsidR="005B0C37" w:rsidRDefault="00000000">
      <w:pPr>
        <w:pStyle w:val="Heading1"/>
      </w:pPr>
      <w:r>
        <w:t>6. No Conflicting Obligations</w:t>
      </w:r>
    </w:p>
    <w:p w14:paraId="2848F7F9" w14:textId="77777777" w:rsidR="005B0C37" w:rsidRDefault="00000000">
      <w:pPr>
        <w:spacing w:after="160"/>
      </w:pPr>
      <w:r>
        <w:t>Employee represents that Employee is not subject to any agreement, restriction, or obligation that would prevent or restrict Employee from performing their duties for the Company or from complying with this Agreement, and that Employee will not disclose to the Company, or use in the course of employment, any confidential information belonging to any prior employer or third party.</w:t>
      </w:r>
    </w:p>
    <w:p w14:paraId="125DDCD5" w14:textId="77777777" w:rsidR="005B0C37" w:rsidRDefault="00000000">
      <w:pPr>
        <w:pStyle w:val="Heading1"/>
      </w:pPr>
      <w:r>
        <w:t>7. Remedies</w:t>
      </w:r>
    </w:p>
    <w:p w14:paraId="35ED94E5" w14:textId="77777777" w:rsidR="005B0C37" w:rsidRDefault="00000000">
      <w:pPr>
        <w:spacing w:after="160"/>
      </w:pPr>
      <w:proofErr w:type="gramStart"/>
      <w:r>
        <w:t>Employee acknowledges</w:t>
      </w:r>
      <w:proofErr w:type="gramEnd"/>
      <w:r>
        <w:t xml:space="preserve"> that the Company’s Confidential Information, client relationships, and proprietary trading systems and models are extremely valuable to the Company, and that any unauthorized use or disclosure would cause irreparable harm to the Company for which monetary </w:t>
      </w:r>
      <w:proofErr w:type="gramStart"/>
      <w:r>
        <w:t>damages</w:t>
      </w:r>
      <w:proofErr w:type="gramEnd"/>
      <w:r>
        <w:t xml:space="preserve"> may be inadequate. Accordingly, in addition to any other remedies available at law or in equity, the Company shall be entitled to seek injunctive relief to enforce the terms of this Agreement, without the necessity of posting a bond, to the extent permitted by applicable law.</w:t>
      </w:r>
    </w:p>
    <w:p w14:paraId="7675F3E6" w14:textId="77777777" w:rsidR="005B0C37" w:rsidRDefault="00000000">
      <w:pPr>
        <w:pStyle w:val="Heading1"/>
      </w:pPr>
      <w:r>
        <w:t>8. Reasonableness and Severability</w:t>
      </w:r>
    </w:p>
    <w:p w14:paraId="261AAF2C" w14:textId="77777777" w:rsidR="005B0C37" w:rsidRDefault="00000000">
      <w:pPr>
        <w:spacing w:after="160"/>
      </w:pPr>
      <w:r>
        <w:t>Employee acknowledges that the restrictions in this Agreement, including their duration, geographic scope, and subject matter, are reasonable and necessary to protect the legitimate business interests of the Company. If any provision of this Agreement is found by a court of competent jurisdiction to be unenforceable as written, the parties intend that the court modify or “</w:t>
      </w:r>
      <w:proofErr w:type="gramStart"/>
      <w:r>
        <w:t>blue-line</w:t>
      </w:r>
      <w:proofErr w:type="gramEnd"/>
      <w:r>
        <w:t>” the provision to the minimum extent necessary to make it enforceable, and that the remainder of the Agreement remain in full force and effect.</w:t>
      </w:r>
    </w:p>
    <w:p w14:paraId="68BF051F" w14:textId="77777777" w:rsidR="005B0C37" w:rsidRDefault="00000000">
      <w:pPr>
        <w:spacing w:after="160"/>
      </w:pPr>
      <w:proofErr w:type="gramStart"/>
      <w:r>
        <w:rPr>
          <w:i/>
          <w:iCs/>
        </w:rPr>
        <w:t>Employee</w:t>
      </w:r>
      <w:proofErr w:type="gramEnd"/>
      <w:r>
        <w:rPr>
          <w:i/>
          <w:iCs/>
        </w:rPr>
        <w:t xml:space="preserve"> and the Company acknowledge that the enforceability of non-competition and non-solicitation provisions varies significantly by jurisdiction, and that some jurisdictions restrict or prohibit such provisions for certain categories of employees. The parties agree that this Agreement is intended to be enforced only to the extent permitted by applicable law in the jurisdiction governing Employee’s employment.</w:t>
      </w:r>
    </w:p>
    <w:p w14:paraId="033463D0" w14:textId="77777777" w:rsidR="005B0C37" w:rsidRDefault="00000000">
      <w:pPr>
        <w:pStyle w:val="Heading1"/>
      </w:pPr>
      <w:r>
        <w:lastRenderedPageBreak/>
        <w:t>9. Governing Law</w:t>
      </w:r>
    </w:p>
    <w:p w14:paraId="0BE5C51C" w14:textId="77777777" w:rsidR="005B0C37" w:rsidRDefault="00000000">
      <w:pPr>
        <w:spacing w:after="160"/>
      </w:pPr>
      <w:r>
        <w:t>This Agreement shall be governed by and construed in accordance with the laws of the State of [INSERT STATE], without regard to its conflict of laws principles.</w:t>
      </w:r>
    </w:p>
    <w:p w14:paraId="08C76C8A" w14:textId="77777777" w:rsidR="005B0C37" w:rsidRDefault="00000000">
      <w:pPr>
        <w:pStyle w:val="Heading1"/>
      </w:pPr>
      <w:r>
        <w:t>10. At-Will Employment</w:t>
      </w:r>
    </w:p>
    <w:p w14:paraId="659B986D" w14:textId="77777777" w:rsidR="005B0C37" w:rsidRDefault="00000000">
      <w:pPr>
        <w:spacing w:after="160"/>
      </w:pPr>
      <w:r>
        <w:t>Nothing in this Agreement alters the at-will nature of Employee’s employment (if applicable), and either Employee or the Company may terminate the employment relationship at any time, with or without cause or notice, subject to applicable law.</w:t>
      </w:r>
    </w:p>
    <w:p w14:paraId="1D338849" w14:textId="77777777" w:rsidR="005B0C37" w:rsidRDefault="00000000">
      <w:pPr>
        <w:pStyle w:val="Heading1"/>
      </w:pPr>
      <w:r>
        <w:t>11. Entire Agreement; Amendment</w:t>
      </w:r>
    </w:p>
    <w:p w14:paraId="5D0020AD" w14:textId="77777777" w:rsidR="005B0C37" w:rsidRDefault="00000000">
      <w:pPr>
        <w:spacing w:after="160"/>
      </w:pPr>
      <w:r>
        <w:t>This Agreement constitutes the entire agreement between the parties with respect to its subject matter and supersedes all prior agreements and understandings, whether written or oral, relating to such subject matter. This Agreement may be amended only by a written instrument signed by both parties.</w:t>
      </w:r>
    </w:p>
    <w:p w14:paraId="68F2639D" w14:textId="77777777" w:rsidR="005B0C37" w:rsidRDefault="00000000">
      <w:pPr>
        <w:pStyle w:val="Heading1"/>
      </w:pPr>
      <w:r>
        <w:t>12. Survival</w:t>
      </w:r>
    </w:p>
    <w:p w14:paraId="35E464EA" w14:textId="77777777" w:rsidR="005B0C37" w:rsidRDefault="00000000">
      <w:pPr>
        <w:spacing w:after="160"/>
      </w:pPr>
      <w:r>
        <w:t>The obligations set forth in Sections 1, 2, 3, 4, 5, 7, and 8 shall survive the termination of Employee’s employment with the Company, regardless of the reason for such termination.</w:t>
      </w:r>
    </w:p>
    <w:p w14:paraId="1600278C" w14:textId="77777777" w:rsidR="005B0C37" w:rsidRDefault="00000000">
      <w:pPr>
        <w:spacing w:before="240" w:after="240"/>
      </w:pPr>
      <w:r>
        <w:rPr>
          <w:b/>
          <w:bCs/>
        </w:rPr>
        <w:t>By signing below, the parties acknowledge that they have read, understand, and agree to be bound by the terms of this Agreement.</w:t>
      </w:r>
    </w:p>
    <w:p w14:paraId="1EF9E4BA" w14:textId="77777777" w:rsidR="005B0C37" w:rsidRDefault="00000000">
      <w:pPr>
        <w:spacing w:before="240"/>
      </w:pPr>
      <w:r>
        <w:rPr>
          <w:b/>
          <w:bCs/>
        </w:rPr>
        <w:t>SAGE TRADING COLLECTIVE</w:t>
      </w:r>
    </w:p>
    <w:p w14:paraId="73C87641" w14:textId="77777777" w:rsidR="005B0C37" w:rsidRDefault="00000000">
      <w:pPr>
        <w:pBdr>
          <w:bottom w:val="single" w:sz="6" w:space="1" w:color="999999"/>
        </w:pBdr>
        <w:spacing w:before="360" w:after="40"/>
      </w:pPr>
      <w:r>
        <w:t xml:space="preserve"> </w:t>
      </w:r>
    </w:p>
    <w:p w14:paraId="6C6D8EC7" w14:textId="77777777" w:rsidR="005B0C37" w:rsidRDefault="00000000">
      <w:pPr>
        <w:spacing w:after="240"/>
      </w:pPr>
      <w:r>
        <w:rPr>
          <w:color w:val="666666"/>
          <w:sz w:val="20"/>
          <w:szCs w:val="20"/>
        </w:rPr>
        <w:t>Authorized Signature                                    Date</w:t>
      </w:r>
    </w:p>
    <w:p w14:paraId="420B492D" w14:textId="77777777" w:rsidR="005B0C37" w:rsidRDefault="00000000">
      <w:r>
        <w:rPr>
          <w:color w:val="666666"/>
          <w:sz w:val="20"/>
          <w:szCs w:val="20"/>
        </w:rPr>
        <w:t>Name / Title</w:t>
      </w:r>
    </w:p>
    <w:p w14:paraId="460317F1" w14:textId="77777777" w:rsidR="005B0C37" w:rsidRDefault="00000000">
      <w:pPr>
        <w:spacing w:before="240"/>
      </w:pPr>
      <w:r>
        <w:rPr>
          <w:b/>
          <w:bCs/>
        </w:rPr>
        <w:t>EMPLOYEE</w:t>
      </w:r>
    </w:p>
    <w:p w14:paraId="7FBA5529" w14:textId="77777777" w:rsidR="005B0C37" w:rsidRDefault="00000000">
      <w:pPr>
        <w:pBdr>
          <w:bottom w:val="single" w:sz="6" w:space="1" w:color="999999"/>
        </w:pBdr>
        <w:spacing w:before="360" w:after="40"/>
      </w:pPr>
      <w:r>
        <w:t xml:space="preserve"> </w:t>
      </w:r>
    </w:p>
    <w:p w14:paraId="2A61F337" w14:textId="77777777" w:rsidR="005B0C37" w:rsidRDefault="00000000">
      <w:pPr>
        <w:spacing w:after="240"/>
      </w:pPr>
      <w:r>
        <w:rPr>
          <w:color w:val="666666"/>
          <w:sz w:val="20"/>
          <w:szCs w:val="20"/>
        </w:rPr>
        <w:t>Employee Signature                                          Date</w:t>
      </w:r>
    </w:p>
    <w:p w14:paraId="0ABC5F6C" w14:textId="77777777" w:rsidR="005B0C37" w:rsidRDefault="00000000">
      <w:r>
        <w:rPr>
          <w:color w:val="666666"/>
          <w:sz w:val="20"/>
          <w:szCs w:val="20"/>
        </w:rPr>
        <w:t>Printed Name</w:t>
      </w:r>
    </w:p>
    <w:sectPr w:rsidR="005B0C37">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CA89" w14:textId="77777777" w:rsidR="00E42E9D" w:rsidRDefault="00E42E9D">
      <w:r>
        <w:separator/>
      </w:r>
    </w:p>
  </w:endnote>
  <w:endnote w:type="continuationSeparator" w:id="0">
    <w:p w14:paraId="0165297A" w14:textId="77777777" w:rsidR="00E42E9D" w:rsidRDefault="00E4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F9F2" w14:textId="77777777" w:rsidR="005B0C37" w:rsidRDefault="00000000">
    <w:pPr>
      <w:jc w:val="center"/>
    </w:pPr>
    <w:r>
      <w:rPr>
        <w:color w:val="999999"/>
        <w:sz w:val="18"/>
        <w:szCs w:val="18"/>
      </w:rPr>
      <w:t xml:space="preserve">Sage Trading Collective — Confidentiality, Non-Disclosure, and Non-Competition Agreement   |   Page </w:t>
    </w:r>
    <w:r>
      <w:rPr>
        <w:color w:val="999999"/>
        <w:sz w:val="18"/>
        <w:szCs w:val="18"/>
      </w:rPr>
      <w:fldChar w:fldCharType="begin"/>
    </w:r>
    <w:r>
      <w:rPr>
        <w:color w:val="999999"/>
        <w:sz w:val="18"/>
        <w:szCs w:val="18"/>
      </w:rPr>
      <w:instrText>PAGE</w:instrText>
    </w:r>
    <w:r>
      <w:rPr>
        <w:color w:val="999999"/>
        <w:sz w:val="18"/>
        <w:szCs w:val="18"/>
      </w:rPr>
      <w:fldChar w:fldCharType="separate"/>
    </w:r>
    <w:r w:rsidR="00520190">
      <w:rPr>
        <w:noProof/>
        <w:color w:val="999999"/>
        <w:sz w:val="18"/>
        <w:szCs w:val="18"/>
      </w:rPr>
      <w:t>1</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9B24" w14:textId="77777777" w:rsidR="00E42E9D" w:rsidRDefault="00E42E9D">
      <w:r>
        <w:separator/>
      </w:r>
    </w:p>
  </w:footnote>
  <w:footnote w:type="continuationSeparator" w:id="0">
    <w:p w14:paraId="6D3B0A01" w14:textId="77777777" w:rsidR="00E42E9D" w:rsidRDefault="00E42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11856"/>
    <w:multiLevelType w:val="hybridMultilevel"/>
    <w:tmpl w:val="99409AC4"/>
    <w:lvl w:ilvl="0" w:tplc="DA0A44E6">
      <w:start w:val="1"/>
      <w:numFmt w:val="decimal"/>
      <w:lvlText w:val="%1."/>
      <w:lvlJc w:val="left"/>
      <w:pPr>
        <w:ind w:left="720" w:hanging="360"/>
      </w:pPr>
    </w:lvl>
    <w:lvl w:ilvl="1" w:tplc="BFC0DBB4">
      <w:numFmt w:val="decimal"/>
      <w:lvlText w:val=""/>
      <w:lvlJc w:val="left"/>
    </w:lvl>
    <w:lvl w:ilvl="2" w:tplc="2B2A7980">
      <w:numFmt w:val="decimal"/>
      <w:lvlText w:val=""/>
      <w:lvlJc w:val="left"/>
    </w:lvl>
    <w:lvl w:ilvl="3" w:tplc="BA7CD61C">
      <w:numFmt w:val="decimal"/>
      <w:lvlText w:val=""/>
      <w:lvlJc w:val="left"/>
    </w:lvl>
    <w:lvl w:ilvl="4" w:tplc="823CDDCA">
      <w:numFmt w:val="decimal"/>
      <w:lvlText w:val=""/>
      <w:lvlJc w:val="left"/>
    </w:lvl>
    <w:lvl w:ilvl="5" w:tplc="39E6771C">
      <w:numFmt w:val="decimal"/>
      <w:lvlText w:val=""/>
      <w:lvlJc w:val="left"/>
    </w:lvl>
    <w:lvl w:ilvl="6" w:tplc="E03CE730">
      <w:numFmt w:val="decimal"/>
      <w:lvlText w:val=""/>
      <w:lvlJc w:val="left"/>
    </w:lvl>
    <w:lvl w:ilvl="7" w:tplc="995282F4">
      <w:numFmt w:val="decimal"/>
      <w:lvlText w:val=""/>
      <w:lvlJc w:val="left"/>
    </w:lvl>
    <w:lvl w:ilvl="8" w:tplc="69D0BA9C">
      <w:numFmt w:val="decimal"/>
      <w:lvlText w:val=""/>
      <w:lvlJc w:val="left"/>
    </w:lvl>
  </w:abstractNum>
  <w:abstractNum w:abstractNumId="1" w15:restartNumberingAfterBreak="0">
    <w:nsid w:val="5D317BCD"/>
    <w:multiLevelType w:val="hybridMultilevel"/>
    <w:tmpl w:val="F702BC44"/>
    <w:lvl w:ilvl="0" w:tplc="17FC777C">
      <w:start w:val="1"/>
      <w:numFmt w:val="bullet"/>
      <w:lvlText w:val="●"/>
      <w:lvlJc w:val="left"/>
      <w:pPr>
        <w:ind w:left="720" w:hanging="360"/>
      </w:pPr>
    </w:lvl>
    <w:lvl w:ilvl="1" w:tplc="5016D42C">
      <w:start w:val="1"/>
      <w:numFmt w:val="bullet"/>
      <w:lvlText w:val="○"/>
      <w:lvlJc w:val="left"/>
      <w:pPr>
        <w:ind w:left="1440" w:hanging="360"/>
      </w:pPr>
    </w:lvl>
    <w:lvl w:ilvl="2" w:tplc="49824FE0">
      <w:start w:val="1"/>
      <w:numFmt w:val="bullet"/>
      <w:lvlText w:val="■"/>
      <w:lvlJc w:val="left"/>
      <w:pPr>
        <w:ind w:left="2160" w:hanging="360"/>
      </w:pPr>
    </w:lvl>
    <w:lvl w:ilvl="3" w:tplc="9ED03446">
      <w:start w:val="1"/>
      <w:numFmt w:val="bullet"/>
      <w:lvlText w:val="●"/>
      <w:lvlJc w:val="left"/>
      <w:pPr>
        <w:ind w:left="2880" w:hanging="360"/>
      </w:pPr>
    </w:lvl>
    <w:lvl w:ilvl="4" w:tplc="AFB8DB0A">
      <w:start w:val="1"/>
      <w:numFmt w:val="bullet"/>
      <w:lvlText w:val="○"/>
      <w:lvlJc w:val="left"/>
      <w:pPr>
        <w:ind w:left="3600" w:hanging="360"/>
      </w:pPr>
    </w:lvl>
    <w:lvl w:ilvl="5" w:tplc="BD5884A8">
      <w:start w:val="1"/>
      <w:numFmt w:val="bullet"/>
      <w:lvlText w:val="■"/>
      <w:lvlJc w:val="left"/>
      <w:pPr>
        <w:ind w:left="4320" w:hanging="360"/>
      </w:pPr>
    </w:lvl>
    <w:lvl w:ilvl="6" w:tplc="BB08B0FE">
      <w:start w:val="1"/>
      <w:numFmt w:val="bullet"/>
      <w:lvlText w:val="●"/>
      <w:lvlJc w:val="left"/>
      <w:pPr>
        <w:ind w:left="5040" w:hanging="360"/>
      </w:pPr>
    </w:lvl>
    <w:lvl w:ilvl="7" w:tplc="B78E4EA0">
      <w:start w:val="1"/>
      <w:numFmt w:val="bullet"/>
      <w:lvlText w:val="●"/>
      <w:lvlJc w:val="left"/>
      <w:pPr>
        <w:ind w:left="5760" w:hanging="360"/>
      </w:pPr>
    </w:lvl>
    <w:lvl w:ilvl="8" w:tplc="AA701528">
      <w:start w:val="1"/>
      <w:numFmt w:val="bullet"/>
      <w:lvlText w:val="●"/>
      <w:lvlJc w:val="left"/>
      <w:pPr>
        <w:ind w:left="6480" w:hanging="360"/>
      </w:pPr>
    </w:lvl>
  </w:abstractNum>
  <w:abstractNum w:abstractNumId="2" w15:restartNumberingAfterBreak="0">
    <w:nsid w:val="74BB6EE5"/>
    <w:multiLevelType w:val="hybridMultilevel"/>
    <w:tmpl w:val="249CC754"/>
    <w:lvl w:ilvl="0" w:tplc="7D361B90">
      <w:start w:val="1"/>
      <w:numFmt w:val="bullet"/>
      <w:lvlText w:val="•"/>
      <w:lvlJc w:val="left"/>
      <w:pPr>
        <w:ind w:left="720" w:hanging="360"/>
      </w:pPr>
    </w:lvl>
    <w:lvl w:ilvl="1" w:tplc="C972CDEC">
      <w:numFmt w:val="decimal"/>
      <w:lvlText w:val=""/>
      <w:lvlJc w:val="left"/>
    </w:lvl>
    <w:lvl w:ilvl="2" w:tplc="6C8A5C50">
      <w:numFmt w:val="decimal"/>
      <w:lvlText w:val=""/>
      <w:lvlJc w:val="left"/>
    </w:lvl>
    <w:lvl w:ilvl="3" w:tplc="C132532A">
      <w:numFmt w:val="decimal"/>
      <w:lvlText w:val=""/>
      <w:lvlJc w:val="left"/>
    </w:lvl>
    <w:lvl w:ilvl="4" w:tplc="D8B29FE8">
      <w:numFmt w:val="decimal"/>
      <w:lvlText w:val=""/>
      <w:lvlJc w:val="left"/>
    </w:lvl>
    <w:lvl w:ilvl="5" w:tplc="2C947720">
      <w:numFmt w:val="decimal"/>
      <w:lvlText w:val=""/>
      <w:lvlJc w:val="left"/>
    </w:lvl>
    <w:lvl w:ilvl="6" w:tplc="76204BC8">
      <w:numFmt w:val="decimal"/>
      <w:lvlText w:val=""/>
      <w:lvlJc w:val="left"/>
    </w:lvl>
    <w:lvl w:ilvl="7" w:tplc="AAB447D8">
      <w:numFmt w:val="decimal"/>
      <w:lvlText w:val=""/>
      <w:lvlJc w:val="left"/>
    </w:lvl>
    <w:lvl w:ilvl="8" w:tplc="809EC89E">
      <w:numFmt w:val="decimal"/>
      <w:lvlText w:val=""/>
      <w:lvlJc w:val="left"/>
    </w:lvl>
  </w:abstractNum>
  <w:num w:numId="1" w16cid:durableId="1783915832">
    <w:abstractNumId w:val="1"/>
    <w:lvlOverride w:ilvl="0">
      <w:startOverride w:val="1"/>
    </w:lvlOverride>
  </w:num>
  <w:num w:numId="2" w16cid:durableId="2099404384">
    <w:abstractNumId w:val="2"/>
    <w:lvlOverride w:ilvl="0">
      <w:startOverride w:val="1"/>
    </w:lvlOverride>
  </w:num>
  <w:num w:numId="3" w16cid:durableId="11600723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C37"/>
    <w:rsid w:val="004763D2"/>
    <w:rsid w:val="00520190"/>
    <w:rsid w:val="005B0C37"/>
    <w:rsid w:val="00B31F13"/>
    <w:rsid w:val="00E42E9D"/>
    <w:rsid w:val="00F1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2A3A"/>
  <w15:docId w15:val="{C9D28F23-8E81-442D-90F9-00835F80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2" w:color="BFBFBF"/>
      </w:pBdr>
      <w:spacing w:before="240" w:after="120"/>
      <w:outlineLvl w:val="0"/>
    </w:pPr>
    <w:rPr>
      <w:b/>
      <w:bCs/>
      <w:color w:val="1F3864"/>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1545</Words>
  <Characters>8811</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Non-Disclosure, Confidentiality, and Non-Competition Agreement</dc:title>
  <dc:creator>Sage Trading Collective</dc:creator>
  <cp:lastModifiedBy>Laura Harrison</cp:lastModifiedBy>
  <cp:revision>3</cp:revision>
  <dcterms:created xsi:type="dcterms:W3CDTF">2026-06-12T11:37:00Z</dcterms:created>
  <dcterms:modified xsi:type="dcterms:W3CDTF">2026-06-13T13:37:00Z</dcterms:modified>
</cp:coreProperties>
</file>